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Т</w:t>
      </w:r>
      <w:r w:rsidRPr="008A2007">
        <w:rPr>
          <w:rFonts w:asciiTheme="minorHAnsi" w:hAnsiTheme="minorHAnsi"/>
          <w:sz w:val="22"/>
          <w:szCs w:val="22"/>
        </w:rPr>
        <w:t>аблица 1</w:t>
      </w:r>
    </w:p>
    <w:p w:rsidR="009A2659" w:rsidRDefault="009A2659" w:rsidP="009A2659">
      <w:pPr>
        <w:spacing w:line="240" w:lineRule="auto"/>
        <w:ind w:firstLine="0"/>
        <w:jc w:val="center"/>
        <w:rPr>
          <w:rFonts w:asciiTheme="minorHAnsi" w:hAnsiTheme="minorHAnsi"/>
          <w:sz w:val="8"/>
          <w:szCs w:val="8"/>
        </w:rPr>
      </w:pPr>
      <w:r w:rsidRPr="004761E1">
        <w:rPr>
          <w:rFonts w:asciiTheme="minorHAnsi" w:hAnsiTheme="minorHAnsi"/>
          <w:b/>
          <w:sz w:val="22"/>
          <w:szCs w:val="22"/>
        </w:rPr>
        <w:t>Офтальмо-гигиенические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761E1">
        <w:rPr>
          <w:rFonts w:asciiTheme="minorHAnsi" w:hAnsiTheme="minorHAnsi"/>
          <w:b/>
          <w:sz w:val="22"/>
          <w:szCs w:val="22"/>
        </w:rPr>
        <w:t xml:space="preserve"> рекомендации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761E1">
        <w:rPr>
          <w:rFonts w:asciiTheme="minorHAnsi" w:hAnsiTheme="minorHAnsi"/>
          <w:b/>
          <w:sz w:val="22"/>
          <w:szCs w:val="22"/>
        </w:rPr>
        <w:t xml:space="preserve"> к организации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4761E1">
        <w:rPr>
          <w:rFonts w:asciiTheme="minorHAnsi" w:hAnsiTheme="minorHAnsi"/>
          <w:b/>
          <w:sz w:val="22"/>
          <w:szCs w:val="22"/>
        </w:rPr>
        <w:t>работы  с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761E1">
        <w:rPr>
          <w:rFonts w:asciiTheme="minorHAnsi" w:hAnsiTheme="minorHAnsi"/>
          <w:b/>
          <w:sz w:val="22"/>
          <w:szCs w:val="22"/>
        </w:rPr>
        <w:t xml:space="preserve"> ребенком</w:t>
      </w:r>
      <w:r>
        <w:rPr>
          <w:rFonts w:asciiTheme="minorHAnsi" w:hAnsiTheme="minorHAnsi"/>
          <w:b/>
          <w:sz w:val="22"/>
          <w:szCs w:val="22"/>
        </w:rPr>
        <w:br/>
      </w:r>
      <w:r w:rsidRPr="004761E1">
        <w:rPr>
          <w:rFonts w:asciiTheme="minorHAnsi" w:hAnsiTheme="minorHAnsi"/>
          <w:b/>
          <w:sz w:val="22"/>
          <w:szCs w:val="22"/>
        </w:rPr>
        <w:t xml:space="preserve">с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761E1">
        <w:rPr>
          <w:rFonts w:asciiTheme="minorHAnsi" w:hAnsiTheme="minorHAnsi"/>
          <w:b/>
          <w:sz w:val="22"/>
          <w:szCs w:val="22"/>
        </w:rPr>
        <w:t xml:space="preserve">учетом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4761E1">
        <w:rPr>
          <w:rFonts w:asciiTheme="minorHAnsi" w:hAnsiTheme="minorHAnsi"/>
          <w:b/>
          <w:sz w:val="22"/>
          <w:szCs w:val="22"/>
        </w:rPr>
        <w:t>состояния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4761E1">
        <w:rPr>
          <w:rFonts w:asciiTheme="minorHAnsi" w:hAnsiTheme="minorHAnsi"/>
          <w:b/>
          <w:sz w:val="22"/>
          <w:szCs w:val="22"/>
        </w:rPr>
        <w:t>зрения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4"/>
        <w:gridCol w:w="1276"/>
        <w:gridCol w:w="1559"/>
        <w:gridCol w:w="1417"/>
        <w:gridCol w:w="1701"/>
        <w:gridCol w:w="3509"/>
      </w:tblGrid>
      <w:tr w:rsidR="009A2659" w:rsidTr="001F2893">
        <w:tc>
          <w:tcPr>
            <w:tcW w:w="284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spacing w:before="80" w:after="8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C65E6">
              <w:rPr>
                <w:rFonts w:asciiTheme="minorHAnsi" w:hAnsiTheme="minorHAnsi"/>
                <w:b/>
                <w:sz w:val="16"/>
                <w:szCs w:val="1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keepNext/>
              <w:spacing w:before="80" w:after="80" w:line="240" w:lineRule="auto"/>
              <w:ind w:firstLine="0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</w:pP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Зрительный диагноз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keepNext/>
              <w:spacing w:before="80" w:after="80" w:line="240" w:lineRule="auto"/>
              <w:ind w:firstLine="0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</w:pP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Характеристика состояния органа зрения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spacing w:before="80" w:after="80" w:line="240" w:lineRule="auto"/>
              <w:ind w:firstLine="0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</w:pP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Этиология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keepNext/>
              <w:spacing w:before="80" w:after="80" w:line="240" w:lineRule="auto"/>
              <w:ind w:firstLine="0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</w:pP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Особенности </w:t>
            </w:r>
            <w:r w:rsidRPr="005E2578">
              <w:rPr>
                <w:rFonts w:asciiTheme="minorHAnsi" w:hAnsiTheme="minorHAnsi" w:cs="Times New Roman"/>
                <w:b/>
                <w:color w:val="000000"/>
                <w:spacing w:val="-4"/>
                <w:sz w:val="18"/>
                <w:szCs w:val="18"/>
              </w:rPr>
              <w:t>работоспособности</w:t>
            </w: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br/>
              <w:t>органов зрения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A2659" w:rsidRPr="00EC65E6" w:rsidRDefault="009A2659" w:rsidP="001F2893">
            <w:pPr>
              <w:spacing w:before="80" w:after="80" w:line="240" w:lineRule="auto"/>
              <w:ind w:firstLine="0"/>
              <w:jc w:val="center"/>
              <w:rPr>
                <w:rFonts w:asciiTheme="minorHAnsi" w:hAnsiTheme="minorHAnsi" w:cs="Times New Roman"/>
                <w:b/>
                <w:color w:val="FF00FF"/>
                <w:sz w:val="18"/>
                <w:szCs w:val="18"/>
              </w:rPr>
            </w:pP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Рекомендации</w:t>
            </w:r>
            <w:r w:rsidRPr="00EC65E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br/>
              <w:t>к организации работы</w:t>
            </w:r>
          </w:p>
        </w:tc>
      </w:tr>
      <w:tr w:rsidR="009A2659" w:rsidRPr="00EC65E6" w:rsidTr="001F2893">
        <w:tc>
          <w:tcPr>
            <w:tcW w:w="284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509" w:type="dxa"/>
          </w:tcPr>
          <w:p w:rsidR="009A2659" w:rsidRPr="00EC65E6" w:rsidRDefault="009A2659" w:rsidP="009A2659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1F2893">
        <w:tc>
          <w:tcPr>
            <w:tcW w:w="284" w:type="dxa"/>
          </w:tcPr>
          <w:p w:rsidR="009A2659" w:rsidRDefault="009A2659" w:rsidP="001F2893">
            <w:pPr>
              <w:spacing w:before="80" w:after="80" w:line="240" w:lineRule="au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1</w:t>
            </w:r>
          </w:p>
        </w:tc>
        <w:tc>
          <w:tcPr>
            <w:tcW w:w="1276" w:type="dxa"/>
          </w:tcPr>
          <w:p w:rsidR="009A2659" w:rsidRPr="005E2578" w:rsidRDefault="009A2659" w:rsidP="001F2893">
            <w:pPr>
              <w:keepNext/>
              <w:spacing w:before="80" w:after="8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Атрофия зрительного нерва</w:t>
            </w:r>
          </w:p>
        </w:tc>
        <w:tc>
          <w:tcPr>
            <w:tcW w:w="1559" w:type="dxa"/>
          </w:tcPr>
          <w:p w:rsidR="009A2659" w:rsidRPr="005E2578" w:rsidRDefault="009A2659" w:rsidP="001F2893">
            <w:pPr>
              <w:keepNext/>
              <w:spacing w:before="80" w:after="8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Нарушение проводящих нервных путей, связывающих сетчатку со зрительным центром</w:t>
            </w: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before="80" w:after="8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Следствие </w:t>
            </w:r>
            <w:r w:rsidRPr="005E2578">
              <w:rPr>
                <w:rFonts w:asciiTheme="minorHAnsi" w:hAnsiTheme="minorHAnsi" w:cs="Times New Roman"/>
                <w:color w:val="000000"/>
                <w:spacing w:val="-6"/>
                <w:sz w:val="18"/>
                <w:szCs w:val="18"/>
              </w:rPr>
              <w:t>воспалительных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или застойных процессов в зрительном нерве</w:t>
            </w:r>
          </w:p>
        </w:tc>
        <w:tc>
          <w:tcPr>
            <w:tcW w:w="1701" w:type="dxa"/>
          </w:tcPr>
          <w:p w:rsidR="009A2659" w:rsidRPr="005E2578" w:rsidRDefault="009A2659" w:rsidP="001F2893">
            <w:pPr>
              <w:keepNext/>
              <w:spacing w:before="80" w:after="8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Резкое падение зрения. Быстрое зрительное и общее утомление.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Сужение границ поля зрения, скотомы, нарушение восприятия зеленого и красного цветов</w:t>
            </w:r>
          </w:p>
        </w:tc>
        <w:tc>
          <w:tcPr>
            <w:tcW w:w="3509" w:type="dxa"/>
          </w:tcPr>
          <w:p w:rsidR="009A2659" w:rsidRPr="005E2578" w:rsidRDefault="009A2659" w:rsidP="009A2659">
            <w:pPr>
              <w:keepNext/>
              <w:spacing w:before="80" w:after="80"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Лечение невролога, четкое дозирование зрительных и физических нагрузок, частый отдых для глаз, снижение темповых нагрузок, увеличение контрастности и насыщенности пособий. Особое внимание уделять использованию белого и красного цвета (объекты данных цветов предъявлять на фоновых экранах, замена мелких предметов на их увеличенное изображение, использование пособий для бисенсорного восприятия, дополнительное освещение, равномерность освещения, подбор пособий и их расположение с учетом нарушений поля зрения, снижение нагрузки перцептивного поля на 40 % по сравнению с нормой)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4"/>
        <w:gridCol w:w="1276"/>
        <w:gridCol w:w="1559"/>
        <w:gridCol w:w="1417"/>
        <w:gridCol w:w="1701"/>
        <w:gridCol w:w="3509"/>
      </w:tblGrid>
      <w:tr w:rsidR="009A2659" w:rsidTr="001F2893">
        <w:tc>
          <w:tcPr>
            <w:tcW w:w="284" w:type="dxa"/>
          </w:tcPr>
          <w:p w:rsidR="009A2659" w:rsidRDefault="009A2659" w:rsidP="001F2893">
            <w:pPr>
              <w:spacing w:before="60" w:after="6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br/>
              <w:t>2</w:t>
            </w:r>
          </w:p>
        </w:tc>
        <w:tc>
          <w:tcPr>
            <w:tcW w:w="1276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Катаракта (у детей чаще носит врожденный характер)</w:t>
            </w:r>
          </w:p>
        </w:tc>
        <w:tc>
          <w:tcPr>
            <w:tcW w:w="1559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Помутнение вещества или капсулы хрусталика глаза </w:t>
            </w: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Пороки развития глаза, часто передаются по наследству вследствие нарушения обмена веществ у матери в период беременности, внутриутробное воспаление сосудистого тракта у плода (токсоплазмоз, вирусные инфекции)</w:t>
            </w:r>
          </w:p>
        </w:tc>
        <w:tc>
          <w:tcPr>
            <w:tcW w:w="1701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 мере развития катаракты снижение остроты зрения от незначительного на начальных этапах до полной его потери в условиях полного помутнения хрусталика</w:t>
            </w:r>
          </w:p>
        </w:tc>
        <w:tc>
          <w:tcPr>
            <w:tcW w:w="3509" w:type="dxa"/>
          </w:tcPr>
          <w:p w:rsidR="009A2659" w:rsidRPr="005E2578" w:rsidRDefault="009A2659" w:rsidP="001F2893">
            <w:pPr>
              <w:keepNext/>
              <w:spacing w:before="120" w:after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Лечение хирургическое. Затем идет работа по восстановлению остроты зрения. 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Подбор натуральных объектов и их изображений различной величины, сложности и деталировки в зависимости от разновидности патологии и остроты зрения.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плеоптическом лечении – упражнения для тренировки амблиопичного глаза для стимуляции сетчатки (с мелкими объектами).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Цветоисполнение пособий преимущественно в желто-красно-оранжевых тонах.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Контроль за правильным использованием глазных линз и сменных очков.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Виды работ без сотрясения тела.</w:t>
            </w:r>
          </w:p>
          <w:p w:rsidR="009A2659" w:rsidRPr="005E2578" w:rsidRDefault="009A2659" w:rsidP="001F2893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Использование лупы для восприятия мелких объектов.</w:t>
            </w:r>
          </w:p>
          <w:p w:rsidR="009A2659" w:rsidRPr="005E2578" w:rsidRDefault="009A2659" w:rsidP="001F2893">
            <w:pPr>
              <w:keepNext/>
              <w:spacing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повышенной зрительной нагрузке – дополнительное освещение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8"/>
        <w:gridCol w:w="1262"/>
        <w:gridCol w:w="1417"/>
        <w:gridCol w:w="1418"/>
        <w:gridCol w:w="1417"/>
        <w:gridCol w:w="3921"/>
      </w:tblGrid>
      <w:tr w:rsidR="009A2659" w:rsidRPr="00EC65E6" w:rsidTr="001F2893">
        <w:tc>
          <w:tcPr>
            <w:tcW w:w="29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262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921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1F2893">
        <w:tc>
          <w:tcPr>
            <w:tcW w:w="29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3</w:t>
            </w:r>
          </w:p>
        </w:tc>
        <w:tc>
          <w:tcPr>
            <w:tcW w:w="1262" w:type="dxa"/>
          </w:tcPr>
          <w:p w:rsidR="009A2659" w:rsidRPr="005E2578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Глаукома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(у детей чаще всего врожденная)</w:t>
            </w: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Повышение внутриглазного давления, снижение остроты зрения, изменение глазного дна</w:t>
            </w:r>
          </w:p>
        </w:tc>
        <w:tc>
          <w:tcPr>
            <w:tcW w:w="1418" w:type="dxa"/>
          </w:tcPr>
          <w:p w:rsidR="009A2659" w:rsidRPr="005E2578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Аномалии эмбрионально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-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го развития дренажной системы вследствие патологических состояний беременности женщины (инфекции, отравления, авитоминоз, териотоксикоз, травмы)</w:t>
            </w: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Гидрофтальм (водянка глаза).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Сужение поля зрения, нарушение световой адаптации, снижение остроты зрения, возможна атрофия зрительного нерва, приводящая к слепоте</w:t>
            </w:r>
          </w:p>
        </w:tc>
        <w:tc>
          <w:tcPr>
            <w:tcW w:w="3921" w:type="dxa"/>
          </w:tcPr>
          <w:p w:rsidR="009A2659" w:rsidRPr="005E2578" w:rsidRDefault="009A2659" w:rsidP="001F2893">
            <w:pPr>
              <w:keepNext/>
              <w:spacing w:before="60" w:line="228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Дозировать нервно-психические и физические нагрузки (провоцирующие повышение внутриглазного давления, например, наклоны туловища вниз) или избегать их. Четкое выполнение распорядка дня, ограничение приема жидкости, регулирование работы желудочно-кишечного тракта.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Спать рекомендуется с высоким положением головы, просмотр телепередач не более одного часа в день.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Натуральные и изобразительные пособия без мелкой деталировки с рельефно-цветовым исполнением.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Пособия повышенной контрастности.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Выделение существенных (сигнальных) признаков объектов в изобразительных пособиях контрастным цветом и рельефом.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Формирование навыков последовательного, поэтапного изучения объектов.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Исключить просмотр видео – кинофильмов в затемненном помещении.</w:t>
            </w:r>
          </w:p>
          <w:p w:rsidR="009A2659" w:rsidRPr="005E2578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Исключить выполнение заданий, где необходима мелкая деталировка.</w:t>
            </w:r>
          </w:p>
          <w:p w:rsidR="009A2659" w:rsidRPr="005E2578" w:rsidRDefault="009A2659" w:rsidP="001F2893">
            <w:pPr>
              <w:keepNext/>
              <w:spacing w:after="60" w:line="228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Замена мелких натуральных объектов их адаптированными изображениями.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8"/>
        <w:gridCol w:w="1262"/>
        <w:gridCol w:w="1559"/>
        <w:gridCol w:w="1276"/>
        <w:gridCol w:w="1417"/>
        <w:gridCol w:w="3921"/>
      </w:tblGrid>
      <w:tr w:rsidR="009A2659" w:rsidTr="001F2893">
        <w:tc>
          <w:tcPr>
            <w:tcW w:w="29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2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921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Наличие подставок для рассматривания иллюстраций, образцов, книг.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Ограничение силовых физических нагрузок (в 20 раз). Избегать пребывание на солнцепеке.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остром приступе (резкое повышение внутриглазного давления) снять нагрузку, освободить от занятий.</w:t>
            </w:r>
          </w:p>
          <w:p w:rsidR="009A2659" w:rsidRPr="005E2578" w:rsidRDefault="009A2659" w:rsidP="001F2893">
            <w:pPr>
              <w:keepNext/>
              <w:spacing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повышенной зрительной нагрузке – дополнительное освещение</w:t>
            </w:r>
          </w:p>
        </w:tc>
      </w:tr>
      <w:tr w:rsidR="009A2659" w:rsidTr="001F2893">
        <w:tc>
          <w:tcPr>
            <w:tcW w:w="29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4</w:t>
            </w:r>
          </w:p>
        </w:tc>
        <w:tc>
          <w:tcPr>
            <w:tcW w:w="1262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Стойкое помутнение роговицы (бельмо)</w:t>
            </w:r>
          </w:p>
        </w:tc>
        <w:tc>
          <w:tcPr>
            <w:tcW w:w="1559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Остатки воспалительных инфильтратов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 элементами дистрофии и дегенерации ткани роговицы</w:t>
            </w:r>
          </w:p>
        </w:tc>
        <w:tc>
          <w:tcPr>
            <w:tcW w:w="1276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Перенесен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-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ный кератит (эндогенные и экзогенные факторы)</w:t>
            </w:r>
          </w:p>
        </w:tc>
        <w:tc>
          <w:tcPr>
            <w:tcW w:w="1417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Резкое снижение остроты зрения, иногда до полной его потери. Амблиопия</w:t>
            </w:r>
          </w:p>
        </w:tc>
        <w:tc>
          <w:tcPr>
            <w:tcW w:w="3921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Правильное и своевременное лечение кератитов.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Рекомендуется работа в режиме зрительных нагрузок (по Л.А. Григорян)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8"/>
        <w:gridCol w:w="1698"/>
        <w:gridCol w:w="1615"/>
        <w:gridCol w:w="1458"/>
        <w:gridCol w:w="1168"/>
        <w:gridCol w:w="3509"/>
      </w:tblGrid>
      <w:tr w:rsidR="009A2659" w:rsidRPr="00EC65E6" w:rsidTr="001F2893">
        <w:tc>
          <w:tcPr>
            <w:tcW w:w="29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615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5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509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1F2893">
        <w:tc>
          <w:tcPr>
            <w:tcW w:w="29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5</w:t>
            </w:r>
          </w:p>
        </w:tc>
        <w:tc>
          <w:tcPr>
            <w:tcW w:w="1698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Дегенерация сетчатки (у детей чаще тапеторетинальная дистрофия сетчатки).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Отслойка сетчатки</w:t>
            </w:r>
          </w:p>
        </w:tc>
        <w:tc>
          <w:tcPr>
            <w:tcW w:w="1615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Тяжелое прогрессирующее заболевание сетчатки глаза</w:t>
            </w:r>
          </w:p>
        </w:tc>
        <w:tc>
          <w:tcPr>
            <w:tcW w:w="1458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Наследственная патология.</w:t>
            </w: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Эмбриональная наследственно атонические факторы, механические факторы, гемодинамика</w:t>
            </w:r>
          </w:p>
        </w:tc>
        <w:tc>
          <w:tcPr>
            <w:tcW w:w="1168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Ухудшение зрения в сумерках, сужение поля зрения (трубочное зрение, скотома), нарушение остроты зрения, цветоощу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-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щения</w:t>
            </w:r>
          </w:p>
        </w:tc>
        <w:tc>
          <w:tcPr>
            <w:tcW w:w="3509" w:type="dxa"/>
          </w:tcPr>
          <w:p w:rsidR="009A2659" w:rsidRPr="00181D30" w:rsidRDefault="009A2659" w:rsidP="009A2659">
            <w:pPr>
              <w:keepNext/>
              <w:spacing w:before="60" w:line="216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pacing w:val="-4"/>
                <w:sz w:val="18"/>
                <w:szCs w:val="18"/>
              </w:rPr>
            </w:pPr>
            <w:r w:rsidRPr="00181D30">
              <w:rPr>
                <w:rFonts w:asciiTheme="minorHAnsi" w:hAnsiTheme="minorHAnsi" w:cs="Times New Roman"/>
                <w:color w:val="000000"/>
                <w:spacing w:val="-4"/>
                <w:sz w:val="18"/>
                <w:szCs w:val="18"/>
              </w:rPr>
              <w:t xml:space="preserve">Щадящий режим зрительной работы и развитие компенсаторных возможностей за счет сохранных анализаторов для успешной ориентации в окружающем мире. </w:t>
            </w:r>
          </w:p>
          <w:p w:rsidR="009A2659" w:rsidRPr="00181D30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pacing w:val="-4"/>
                <w:sz w:val="18"/>
                <w:szCs w:val="18"/>
              </w:rPr>
            </w:pPr>
            <w:r w:rsidRPr="00181D30">
              <w:rPr>
                <w:rFonts w:asciiTheme="minorHAnsi" w:hAnsiTheme="minorHAnsi" w:cs="Times New Roman"/>
                <w:sz w:val="18"/>
                <w:szCs w:val="18"/>
              </w:rPr>
              <w:t>Максимальный</w:t>
            </w:r>
            <w:r w:rsidRPr="00181D30">
              <w:rPr>
                <w:rFonts w:asciiTheme="minorHAnsi" w:hAnsiTheme="minorHAnsi" w:cs="Times New Roman"/>
                <w:spacing w:val="-4"/>
                <w:sz w:val="18"/>
                <w:szCs w:val="18"/>
              </w:rPr>
              <w:t xml:space="preserve"> контраст, насыщенность.</w:t>
            </w:r>
          </w:p>
          <w:p w:rsidR="009A2659" w:rsidRPr="00181D30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181D30">
              <w:rPr>
                <w:rFonts w:asciiTheme="minorHAnsi" w:hAnsiTheme="minorHAnsi" w:cs="Times New Roman"/>
                <w:sz w:val="18"/>
                <w:szCs w:val="18"/>
              </w:rPr>
              <w:t>При значительном сужении поля зрения сложные изображения разделяются на составляющие; используется поэтапная методика подачи материала с выходом на</w:t>
            </w:r>
            <w:r w:rsidRPr="00181D30">
              <w:rPr>
                <w:rFonts w:asciiTheme="minorHAnsi" w:hAnsiTheme="minorHAnsi" w:cs="Times New Roman"/>
                <w:color w:val="FF0000"/>
                <w:sz w:val="18"/>
                <w:szCs w:val="18"/>
              </w:rPr>
              <w:t xml:space="preserve"> </w:t>
            </w:r>
            <w:r w:rsidRPr="00181D30">
              <w:rPr>
                <w:rFonts w:asciiTheme="minorHAnsi" w:hAnsiTheme="minorHAnsi" w:cs="Times New Roman"/>
                <w:sz w:val="18"/>
                <w:szCs w:val="18"/>
              </w:rPr>
              <w:t>целостный образ без второстепенных деталей.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Избегать перегрузки перцептивного поля (до 10 рассматриваемых объектов).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Осуществляется коррекционный контроль за распадом сформированных представлений.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Рекомендуются упражнения с подвижными зрительными ориентирами.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Избегать длительных наклонных движений, резких движений, подъемов тяжестей (особенно при отслойке сетчатки).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повышенной зрительной нагрузке – дополнительное освещение.</w:t>
            </w:r>
          </w:p>
          <w:p w:rsidR="009A2659" w:rsidRPr="005E2578" w:rsidRDefault="009A2659" w:rsidP="009A2659">
            <w:pPr>
              <w:keepNext/>
              <w:spacing w:after="60" w:line="216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Использовать лупу при рассматривании мелких объектов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8"/>
        <w:gridCol w:w="1698"/>
        <w:gridCol w:w="1615"/>
        <w:gridCol w:w="1458"/>
        <w:gridCol w:w="1469"/>
        <w:gridCol w:w="3208"/>
      </w:tblGrid>
      <w:tr w:rsidR="009A2659" w:rsidTr="001F2893">
        <w:tc>
          <w:tcPr>
            <w:tcW w:w="298" w:type="dxa"/>
          </w:tcPr>
          <w:p w:rsidR="009A2659" w:rsidRDefault="009A2659" w:rsidP="001F2893">
            <w:pPr>
              <w:spacing w:before="12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6</w:t>
            </w:r>
          </w:p>
        </w:tc>
        <w:tc>
          <w:tcPr>
            <w:tcW w:w="1698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Заболевания сосудистого тракта: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– 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увеит;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– 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иридоциклит</w:t>
            </w:r>
          </w:p>
        </w:tc>
        <w:tc>
          <w:tcPr>
            <w:tcW w:w="1615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Поражение сосудистого тракта глаза.</w:t>
            </w: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Поражение радужной оболочки и цилиарного тела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Воспаление сосудистого тракта глаза.</w:t>
            </w: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Специфическое (сифилис, туберкулез) и неспецифичес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-</w:t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кое воспаление</w:t>
            </w:r>
          </w:p>
        </w:tc>
        <w:tc>
          <w:tcPr>
            <w:tcW w:w="1469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Нарушение зрения и его функций (снижение остроты зрения, нарушение поля зрения, гемералопия). Светобоязнь.</w:t>
            </w:r>
          </w:p>
          <w:p w:rsidR="009A2659" w:rsidRPr="005E2578" w:rsidRDefault="009A2659" w:rsidP="001F2893">
            <w:pPr>
              <w:keepNext/>
              <w:spacing w:after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осложнении возможно формирование катаракты, повышение внутриглазного давления, отслойка сосудистой оболочки</w:t>
            </w:r>
          </w:p>
        </w:tc>
        <w:tc>
          <w:tcPr>
            <w:tcW w:w="3208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Щадящий охранительный режим зрительной работы. Лечение основного заболевания. Формирование способов компенсаторного ориентирования в окружающем мире за счет потенциальных возможностей психики.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осложнениях – ограничение физических нагрузок вплоть до полного их исключения. Исключить компьютер, мелькающий экран. Использовать подставку для рассматривания иллюстраций, образцов, книг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98"/>
        <w:gridCol w:w="1664"/>
        <w:gridCol w:w="1751"/>
        <w:gridCol w:w="1496"/>
        <w:gridCol w:w="1342"/>
        <w:gridCol w:w="3196"/>
      </w:tblGrid>
      <w:tr w:rsidR="009A2659" w:rsidRPr="00EC65E6" w:rsidTr="009A2659">
        <w:tc>
          <w:tcPr>
            <w:tcW w:w="298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664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751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96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196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9A2659">
        <w:tc>
          <w:tcPr>
            <w:tcW w:w="298" w:type="dxa"/>
          </w:tcPr>
          <w:p w:rsidR="009A2659" w:rsidRDefault="009A2659" w:rsidP="001F2893">
            <w:pPr>
              <w:spacing w:before="12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  <w:t>7</w:t>
            </w:r>
          </w:p>
        </w:tc>
        <w:tc>
          <w:tcPr>
            <w:tcW w:w="1664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Миопия (злокачественная, прогрессирующая</w:t>
            </w:r>
            <w:r w:rsidRPr="005E257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Сильный вид рефракции</w:t>
            </w:r>
          </w:p>
        </w:tc>
        <w:tc>
          <w:tcPr>
            <w:tcW w:w="1496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Чаще приобретенная, вследствие зрительной работы на близком расстоянии. Наследственная обусловлена ослабленной склерой, повышением внутриглазного давления</w:t>
            </w:r>
          </w:p>
        </w:tc>
        <w:tc>
          <w:tcPr>
            <w:tcW w:w="1342" w:type="dxa"/>
          </w:tcPr>
          <w:p w:rsidR="009A2659" w:rsidRPr="005E2578" w:rsidRDefault="009A2659" w:rsidP="001F2893">
            <w:pPr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Понижение остроты зрения.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миопии высокой степени как осложнение возможна отслойка сетчатки</w:t>
            </w:r>
          </w:p>
        </w:tc>
        <w:tc>
          <w:tcPr>
            <w:tcW w:w="3196" w:type="dxa"/>
          </w:tcPr>
          <w:p w:rsidR="009A2659" w:rsidRPr="005E2578" w:rsidRDefault="009A2659" w:rsidP="009A2659">
            <w:pPr>
              <w:spacing w:before="120"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Щадящий охранительный режим зрительной работы, четкое дозирование зрительных и физических нагрузок, частый отдых для глаз, снижение темповых нагрузок.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Стационарная неосложненная миопия хорошо корригируется очками.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При миопии высокой степени необходимо следующее: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исключить при чтении мелкий шрифт; высота букв (цифр) в тетради 5–5,5 мм, на доске –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12–14 см; межбуквенные пространства 3 мм;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мелкие натуральные объекты заменить увеличенными изобразительными пособиями без мелкой деталировки;</w:t>
            </w:r>
          </w:p>
          <w:p w:rsidR="009A2659" w:rsidRPr="005E2578" w:rsidRDefault="009A2659" w:rsidP="009A2659">
            <w:pPr>
              <w:keepNext/>
              <w:spacing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использовать изобразительные пособия для бисенсорного восприятия;</w:t>
            </w:r>
          </w:p>
          <w:p w:rsidR="009A2659" w:rsidRPr="005E2578" w:rsidRDefault="009A2659" w:rsidP="009A2659">
            <w:pPr>
              <w:keepNext/>
              <w:spacing w:after="120" w:line="216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максимальный контраст, насыщенность;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98"/>
        <w:gridCol w:w="1619"/>
        <w:gridCol w:w="1751"/>
        <w:gridCol w:w="1496"/>
        <w:gridCol w:w="1342"/>
        <w:gridCol w:w="3241"/>
      </w:tblGrid>
      <w:tr w:rsidR="009A2659" w:rsidTr="001F2893">
        <w:tc>
          <w:tcPr>
            <w:tcW w:w="29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4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7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8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75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4" w:type="dxa"/>
          </w:tcPr>
          <w:p w:rsidR="009A2659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минимальная загруженность перцептивного поля;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цветоисполнение пособий преимущественно в оранжево-желтых и зеленых тонах;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черные изображения – с увеличе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-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нием контрастности в 2 раза;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постоянный контроль за осанкой;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рекомендуются коррекционные приемы по определению размеров, сравнительный разбор объектов;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упражнения на тренировку аккомодации;</w:t>
            </w:r>
          </w:p>
          <w:p w:rsidR="009A2659" w:rsidRDefault="009A2659" w:rsidP="001F2893">
            <w:pPr>
              <w:spacing w:after="120" w:line="240" w:lineRule="au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–</w:t>
            </w: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 xml:space="preserve"> использовать подставку для рассматривания иллюстраций, образцов, книг. Использовать лупу при рассматривании мелких объектов</w:t>
            </w:r>
          </w:p>
        </w:tc>
      </w:tr>
      <w:tr w:rsidR="009A2659" w:rsidTr="001F2893">
        <w:tc>
          <w:tcPr>
            <w:tcW w:w="298" w:type="dxa"/>
          </w:tcPr>
          <w:p w:rsidR="009A2659" w:rsidRDefault="009A2659" w:rsidP="001F2893">
            <w:pPr>
              <w:spacing w:before="60"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8</w:t>
            </w:r>
          </w:p>
        </w:tc>
        <w:tc>
          <w:tcPr>
            <w:tcW w:w="1664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Микрофтальм</w:t>
            </w:r>
          </w:p>
        </w:tc>
        <w:tc>
          <w:tcPr>
            <w:tcW w:w="1477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Врожденная аномалия развития глаза, характеризующаяся уменьшением всех его размеров</w:t>
            </w:r>
          </w:p>
        </w:tc>
        <w:tc>
          <w:tcPr>
            <w:tcW w:w="1458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Внутриутробные патологические процессы</w:t>
            </w:r>
          </w:p>
        </w:tc>
        <w:tc>
          <w:tcPr>
            <w:tcW w:w="1375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Понижение остроты зрения</w:t>
            </w:r>
          </w:p>
        </w:tc>
        <w:tc>
          <w:tcPr>
            <w:tcW w:w="3474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Характер пособий зависит от остроты зрения</w:t>
            </w:r>
          </w:p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79"/>
        <w:gridCol w:w="1416"/>
        <w:gridCol w:w="1751"/>
        <w:gridCol w:w="1563"/>
        <w:gridCol w:w="1453"/>
        <w:gridCol w:w="3184"/>
      </w:tblGrid>
      <w:tr w:rsidR="009A2659" w:rsidRPr="00EC65E6" w:rsidTr="001F2893">
        <w:tc>
          <w:tcPr>
            <w:tcW w:w="379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416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751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563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453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184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9A2659">
        <w:trPr>
          <w:trHeight w:val="2325"/>
        </w:trPr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9</w:t>
            </w:r>
          </w:p>
        </w:tc>
        <w:tc>
          <w:tcPr>
            <w:tcW w:w="1416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Альбинизм</w:t>
            </w:r>
          </w:p>
        </w:tc>
        <w:tc>
          <w:tcPr>
            <w:tcW w:w="1751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Врожденная аномалия, характеризующаяся отсутствием пигмента в глазах (в сосудистой и радужной оболочках), ресницах, бровях, коже</w:t>
            </w:r>
          </w:p>
        </w:tc>
        <w:tc>
          <w:tcPr>
            <w:tcW w:w="1563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Внутриутробные патологические процессы</w:t>
            </w:r>
          </w:p>
        </w:tc>
        <w:tc>
          <w:tcPr>
            <w:tcW w:w="1453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Практически прозрачная радужная оболочка, светобоязнь, понижение остроты зрения</w:t>
            </w:r>
          </w:p>
        </w:tc>
        <w:tc>
          <w:tcPr>
            <w:tcW w:w="3184" w:type="dxa"/>
          </w:tcPr>
          <w:p w:rsidR="009A2659" w:rsidRPr="005E2578" w:rsidRDefault="009A2659" w:rsidP="001F2893">
            <w:pPr>
              <w:keepNext/>
              <w:spacing w:before="12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Ограничение светового потока, светозащитные или дырчататые очки, контактные, затемненные линзы с прозрачным центром.</w:t>
            </w:r>
          </w:p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Характер пособий зависит от остроты зрения</w:t>
            </w:r>
          </w:p>
        </w:tc>
      </w:tr>
      <w:tr w:rsidR="009A2659" w:rsidTr="001F2893"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10</w:t>
            </w:r>
          </w:p>
        </w:tc>
        <w:tc>
          <w:tcPr>
            <w:tcW w:w="1416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Гиперметропия</w:t>
            </w:r>
          </w:p>
        </w:tc>
        <w:tc>
          <w:tcPr>
            <w:tcW w:w="1751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Слабый вид рефракции</w:t>
            </w:r>
          </w:p>
        </w:tc>
        <w:tc>
          <w:tcPr>
            <w:tcW w:w="1563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Врожденная, со временем может самостоятельно корригироваться, возрастное ослабление аккомодации</w:t>
            </w:r>
          </w:p>
        </w:tc>
        <w:tc>
          <w:tcPr>
            <w:tcW w:w="1453" w:type="dxa"/>
          </w:tcPr>
          <w:p w:rsidR="009A2659" w:rsidRPr="005E2578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5E257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Плохая видимость предметов, расположенных на близком расстоянии</w:t>
            </w:r>
          </w:p>
        </w:tc>
        <w:tc>
          <w:tcPr>
            <w:tcW w:w="3184" w:type="dxa"/>
          </w:tcPr>
          <w:p w:rsidR="009A2659" w:rsidRPr="005E2578" w:rsidRDefault="009A2659" w:rsidP="001F2893">
            <w:pPr>
              <w:keepNext/>
              <w:spacing w:before="120" w:after="120" w:line="240" w:lineRule="auto"/>
              <w:ind w:firstLine="0"/>
              <w:jc w:val="left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  <w:r w:rsidRPr="005E2578">
              <w:rPr>
                <w:rFonts w:asciiTheme="minorHAnsi" w:hAnsiTheme="minorHAnsi" w:cs="Times New Roman"/>
                <w:sz w:val="18"/>
                <w:szCs w:val="18"/>
              </w:rPr>
              <w:t>В дошкольном возрасте – постоянная очковая коррекция даже небольшой степени гиперметропии. Школьникам при средней степени гиперметропии – очки для работы на близком расстоянии, при высокой – для постоянного ношения. Развитие резервных возможностей рефракции и аккомодации. Частая перефокусировка взора, чередование зрительной работы вблизи с переведением взгляда вдаль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79"/>
        <w:gridCol w:w="1416"/>
        <w:gridCol w:w="1751"/>
        <w:gridCol w:w="1563"/>
        <w:gridCol w:w="1453"/>
        <w:gridCol w:w="3184"/>
      </w:tblGrid>
      <w:tr w:rsidR="009A2659" w:rsidTr="001F2893"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11</w:t>
            </w:r>
          </w:p>
        </w:tc>
        <w:tc>
          <w:tcPr>
            <w:tcW w:w="1416" w:type="dxa"/>
          </w:tcPr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Астигматизм</w:t>
            </w:r>
          </w:p>
        </w:tc>
        <w:tc>
          <w:tcPr>
            <w:tcW w:w="1751" w:type="dxa"/>
          </w:tcPr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Сочетание различных видов рефракции или комбинация в одном глазу различных степеней одной и той же рефракции</w:t>
            </w:r>
          </w:p>
        </w:tc>
        <w:tc>
          <w:tcPr>
            <w:tcW w:w="1563" w:type="dxa"/>
          </w:tcPr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Чаще врожденный, приобретенный (после перенесенных глазных заболеваний или операций)</w:t>
            </w:r>
          </w:p>
        </w:tc>
        <w:tc>
          <w:tcPr>
            <w:tcW w:w="1453" w:type="dxa"/>
          </w:tcPr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Нет четкого видения предметов и объектов.</w:t>
            </w:r>
          </w:p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167340">
              <w:rPr>
                <w:rFonts w:asciiTheme="minorHAnsi" w:hAnsiTheme="minorHAnsi" w:cs="Times New Roman"/>
                <w:sz w:val="18"/>
                <w:szCs w:val="18"/>
              </w:rPr>
              <w:t>Снижение остроты зрения.</w:t>
            </w:r>
          </w:p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167340">
              <w:rPr>
                <w:rFonts w:asciiTheme="minorHAnsi" w:hAnsiTheme="minorHAnsi" w:cs="Times New Roman"/>
                <w:sz w:val="18"/>
                <w:szCs w:val="18"/>
              </w:rPr>
              <w:t>Быстрое наступление зрительного утомления</w:t>
            </w:r>
          </w:p>
        </w:tc>
        <w:tc>
          <w:tcPr>
            <w:tcW w:w="3184" w:type="dxa"/>
          </w:tcPr>
          <w:p w:rsidR="009A2659" w:rsidRPr="00167340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 зависимости от степени его проявления может быть рекомендована очковая коррекция. Если нет эффект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а </w:t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т</w:t>
            </w: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очковой коррекции, то показано оперативное вмешательство. Однако при сложном астигматизме даже кератопластика может не дать положительного результата. В этом случае может развиваться вторичное косоглазие.</w:t>
            </w:r>
          </w:p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16734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Четкое дозирование зрительных и физических нагрузок, </w:t>
            </w:r>
            <w:r w:rsidRPr="00167340">
              <w:rPr>
                <w:rFonts w:asciiTheme="minorHAnsi" w:hAnsiTheme="minorHAnsi" w:cs="Times New Roman"/>
                <w:sz w:val="18"/>
                <w:szCs w:val="18"/>
              </w:rPr>
              <w:t>частый отдых для глаз.</w:t>
            </w:r>
          </w:p>
          <w:p w:rsidR="009A2659" w:rsidRPr="0016734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167340">
              <w:rPr>
                <w:rFonts w:asciiTheme="minorHAnsi" w:hAnsiTheme="minorHAnsi" w:cs="Times New Roman"/>
                <w:sz w:val="18"/>
                <w:szCs w:val="18"/>
              </w:rPr>
              <w:t>Характер пособий зависит от остроты зрения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Pr="001E769B" w:rsidRDefault="009A2659" w:rsidP="009A265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79"/>
        <w:gridCol w:w="1245"/>
        <w:gridCol w:w="1495"/>
        <w:gridCol w:w="1640"/>
        <w:gridCol w:w="1591"/>
        <w:gridCol w:w="3397"/>
      </w:tblGrid>
      <w:tr w:rsidR="009A2659" w:rsidRPr="00EC65E6" w:rsidTr="009A2659">
        <w:tc>
          <w:tcPr>
            <w:tcW w:w="379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245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495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640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591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397" w:type="dxa"/>
          </w:tcPr>
          <w:p w:rsidR="009A2659" w:rsidRPr="00EC65E6" w:rsidRDefault="009A2659" w:rsidP="001F2893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9A2659" w:rsidTr="009A2659"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12</w:t>
            </w:r>
          </w:p>
        </w:tc>
        <w:tc>
          <w:tcPr>
            <w:tcW w:w="1245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Афакия</w:t>
            </w:r>
          </w:p>
        </w:tc>
        <w:tc>
          <w:tcPr>
            <w:tcW w:w="1495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Отсутствие хрусталика</w:t>
            </w:r>
          </w:p>
        </w:tc>
        <w:tc>
          <w:tcPr>
            <w:tcW w:w="1640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Выраженное снижение зрения, амблиопия</w:t>
            </w:r>
          </w:p>
        </w:tc>
        <w:tc>
          <w:tcPr>
            <w:tcW w:w="3397" w:type="dxa"/>
          </w:tcPr>
          <w:p w:rsidR="009A2659" w:rsidRPr="008C62C0" w:rsidRDefault="009A2659" w:rsidP="001F2893">
            <w:pPr>
              <w:keepNext/>
              <w:spacing w:before="60"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Подбор натуральных объектов и их изображений различной величины, сложности и деталировки в зависимости от остроты зрения.</w:t>
            </w:r>
          </w:p>
          <w:p w:rsidR="009A2659" w:rsidRPr="008C62C0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При плеоптическом лечении – упражнения для тренировки амблиопичного глаза для стимуляции сетчатки (с мелкими объектами).</w:t>
            </w:r>
          </w:p>
          <w:p w:rsidR="009A2659" w:rsidRPr="008C62C0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Цветоисполнение пособий преимущественно в желто-красно-оранжевых тонах.</w:t>
            </w:r>
          </w:p>
          <w:p w:rsidR="009A2659" w:rsidRPr="008C62C0" w:rsidRDefault="009A2659" w:rsidP="001F2893">
            <w:pPr>
              <w:keepNext/>
              <w:spacing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Контроль за правильным использованием сменных очков: для близкого и далекого расстояния.</w:t>
            </w:r>
          </w:p>
          <w:p w:rsidR="009A2659" w:rsidRPr="008C62C0" w:rsidRDefault="009A2659" w:rsidP="001F2893">
            <w:pPr>
              <w:keepNext/>
              <w:spacing w:after="60" w:line="228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Использование лупы для восприятия мелких объектов. При повышенной зрительной нагрузке – дополнительное освещение</w:t>
            </w:r>
          </w:p>
        </w:tc>
      </w:tr>
      <w:tr w:rsidR="009A2659" w:rsidTr="009A2659"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13</w:t>
            </w:r>
          </w:p>
        </w:tc>
        <w:tc>
          <w:tcPr>
            <w:tcW w:w="1245" w:type="dxa"/>
          </w:tcPr>
          <w:p w:rsidR="009A2659" w:rsidRPr="008C62C0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Ретинопатия</w:t>
            </w:r>
          </w:p>
        </w:tc>
        <w:tc>
          <w:tcPr>
            <w:tcW w:w="1495" w:type="dxa"/>
          </w:tcPr>
          <w:p w:rsidR="009A2659" w:rsidRPr="008C62C0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Тяжелая патология сетчатки и стекловидного тела</w:t>
            </w:r>
          </w:p>
        </w:tc>
        <w:tc>
          <w:tcPr>
            <w:tcW w:w="1640" w:type="dxa"/>
          </w:tcPr>
          <w:p w:rsidR="009A2659" w:rsidRPr="008C62C0" w:rsidRDefault="009A2659" w:rsidP="001F2893">
            <w:pPr>
              <w:keepNext/>
              <w:spacing w:before="60" w:after="60" w:line="228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Возникает у недоношенных детей, вследствие тяжелой патологии беременности</w:t>
            </w:r>
          </w:p>
        </w:tc>
        <w:tc>
          <w:tcPr>
            <w:tcW w:w="1591" w:type="dxa"/>
          </w:tcPr>
          <w:p w:rsidR="009A2659" w:rsidRPr="008C62C0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Выраженное снижение зрения вплоть до слепоты</w:t>
            </w:r>
          </w:p>
        </w:tc>
        <w:tc>
          <w:tcPr>
            <w:tcW w:w="3397" w:type="dxa"/>
          </w:tcPr>
          <w:p w:rsidR="009A2659" w:rsidRPr="008C62C0" w:rsidRDefault="009A2659" w:rsidP="001F2893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Охранительный режим.</w:t>
            </w:r>
          </w:p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Характер пособий зависит от остроты зрения, состояния поля зрения, цветочувствительности</w:t>
            </w:r>
          </w:p>
        </w:tc>
      </w:tr>
    </w:tbl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Pr="00564FF9" w:rsidRDefault="009A2659" w:rsidP="009A2659">
      <w:pPr>
        <w:spacing w:line="240" w:lineRule="auto"/>
        <w:ind w:firstLine="0"/>
        <w:jc w:val="right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22"/>
          <w:szCs w:val="22"/>
        </w:rPr>
        <w:t>Окончание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1</w:t>
      </w:r>
    </w:p>
    <w:p w:rsidR="009A2659" w:rsidRDefault="009A2659" w:rsidP="009A2659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9A2659" w:rsidRPr="009A2659" w:rsidRDefault="009A2659" w:rsidP="009A2659">
      <w:pPr>
        <w:spacing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79"/>
        <w:gridCol w:w="1245"/>
        <w:gridCol w:w="1735"/>
        <w:gridCol w:w="1400"/>
        <w:gridCol w:w="1591"/>
        <w:gridCol w:w="3397"/>
      </w:tblGrid>
      <w:tr w:rsidR="009A2659" w:rsidTr="001F2893">
        <w:tc>
          <w:tcPr>
            <w:tcW w:w="379" w:type="dxa"/>
          </w:tcPr>
          <w:p w:rsidR="009A2659" w:rsidRDefault="009A2659" w:rsidP="001F2893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  <w:t>14</w:t>
            </w:r>
          </w:p>
        </w:tc>
        <w:tc>
          <w:tcPr>
            <w:tcW w:w="1245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 xml:space="preserve">Нистагм </w:t>
            </w:r>
          </w:p>
        </w:tc>
        <w:tc>
          <w:tcPr>
            <w:tcW w:w="1735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 xml:space="preserve">Самопроизвольные колебательные движения различной амплитуды </w:t>
            </w:r>
            <w:r w:rsidRPr="008C62C0">
              <w:rPr>
                <w:rFonts w:asciiTheme="minorHAnsi" w:eastAsia="Times New Roman" w:hAnsiTheme="minorHAnsi" w:cs="Times New Roman"/>
                <w:sz w:val="18"/>
                <w:szCs w:val="18"/>
              </w:rPr>
              <w:t>–</w:t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 xml:space="preserve"> изображение на сетчатке всегда расфокусировано </w:t>
            </w:r>
          </w:p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591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Снижение остроты зрения. Увеличение времени восприятия объектов. Трудности фиксации взора, нарушение прослеживающих функций глаз</w:t>
            </w:r>
          </w:p>
        </w:tc>
        <w:tc>
          <w:tcPr>
            <w:tcW w:w="3397" w:type="dxa"/>
          </w:tcPr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br/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 xml:space="preserve">Необходимо тратить значительно больше внимания и энергии в процессе фиксации зрительного стимула с целью возникновения адекватного образа, поэтому темп работы детей с нистагмом медленный, а усилие (напряжение) значительное. </w:t>
            </w:r>
            <w:r w:rsidRPr="008C62C0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Необходимо </w:t>
            </w: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четкое дозирование зрительных нагрузок, частый отдых для глаз, снижение темповых нагрузок. Использовать подставку для рассматривания иллюстраций, образцов, книг.</w:t>
            </w:r>
          </w:p>
          <w:p w:rsidR="009A2659" w:rsidRPr="008C62C0" w:rsidRDefault="009A2659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Избегать перегрузки перцептивного поля.</w:t>
            </w:r>
          </w:p>
          <w:p w:rsidR="009A2659" w:rsidRPr="008C62C0" w:rsidRDefault="009A2659" w:rsidP="001F2893">
            <w:pPr>
              <w:keepNext/>
              <w:spacing w:after="120" w:line="240" w:lineRule="auto"/>
              <w:ind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8C62C0">
              <w:rPr>
                <w:rFonts w:asciiTheme="minorHAnsi" w:hAnsiTheme="minorHAnsi" w:cs="Times New Roman"/>
                <w:sz w:val="18"/>
                <w:szCs w:val="18"/>
              </w:rPr>
              <w:t>Рекомендуются коррекционные приемы по определению размеров, сравнительный разбор объектов</w:t>
            </w:r>
          </w:p>
        </w:tc>
      </w:tr>
    </w:tbl>
    <w:p w:rsidR="005F498A" w:rsidRDefault="005F498A" w:rsidP="009A2659">
      <w:pPr>
        <w:spacing w:line="240" w:lineRule="auto"/>
        <w:rPr>
          <w:rFonts w:asciiTheme="minorHAnsi" w:hAnsiTheme="minorHAnsi"/>
          <w:sz w:val="16"/>
          <w:szCs w:val="16"/>
        </w:rPr>
        <w:sectPr w:rsidR="005F498A" w:rsidSect="00D559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8391" w:orient="landscape" w:code="11"/>
          <w:pgMar w:top="1134" w:right="1134" w:bottom="1134" w:left="1134" w:header="708" w:footer="708" w:gutter="0"/>
          <w:pgNumType w:start="46"/>
          <w:cols w:space="708"/>
          <w:docGrid w:linePitch="381"/>
        </w:sectPr>
      </w:pPr>
    </w:p>
    <w:p w:rsidR="009A2659" w:rsidRDefault="009A2659" w:rsidP="009A2659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9A2659" w:rsidRPr="009A2659" w:rsidRDefault="009A2659" w:rsidP="009A2659">
      <w:pPr>
        <w:spacing w:line="240" w:lineRule="auto"/>
        <w:rPr>
          <w:rFonts w:asciiTheme="minorHAnsi" w:hAnsiTheme="minorHAnsi"/>
          <w:sz w:val="16"/>
          <w:szCs w:val="16"/>
        </w:rPr>
      </w:pPr>
    </w:p>
    <w:sectPr w:rsidR="009A2659" w:rsidRPr="009A2659" w:rsidSect="009A2659">
      <w:type w:val="continuous"/>
      <w:pgSz w:w="11907" w:h="8391" w:orient="landscape" w:code="11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1F" w:rsidRDefault="009C511F" w:rsidP="00D55924">
      <w:pPr>
        <w:spacing w:line="240" w:lineRule="auto"/>
      </w:pPr>
      <w:r>
        <w:separator/>
      </w:r>
    </w:p>
  </w:endnote>
  <w:endnote w:type="continuationSeparator" w:id="0">
    <w:p w:rsidR="009C511F" w:rsidRDefault="009C511F" w:rsidP="00D5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5" w:rsidRDefault="00FF58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52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F5835" w:rsidRPr="00FF5835" w:rsidRDefault="00651A32">
        <w:pPr>
          <w:pStyle w:val="a6"/>
          <w:jc w:val="center"/>
          <w:rPr>
            <w:rFonts w:asciiTheme="minorHAnsi" w:hAnsiTheme="minorHAnsi"/>
            <w:sz w:val="20"/>
            <w:szCs w:val="20"/>
          </w:rPr>
        </w:pPr>
        <w:r w:rsidRPr="00FF5835">
          <w:rPr>
            <w:rFonts w:asciiTheme="minorHAnsi" w:hAnsiTheme="minorHAnsi"/>
            <w:sz w:val="20"/>
            <w:szCs w:val="20"/>
          </w:rPr>
          <w:fldChar w:fldCharType="begin"/>
        </w:r>
        <w:r w:rsidR="00FF5835" w:rsidRPr="00FF58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F5835">
          <w:rPr>
            <w:rFonts w:asciiTheme="minorHAnsi" w:hAnsiTheme="minorHAnsi"/>
            <w:sz w:val="20"/>
            <w:szCs w:val="20"/>
          </w:rPr>
          <w:fldChar w:fldCharType="separate"/>
        </w:r>
        <w:r w:rsidR="00A22513">
          <w:rPr>
            <w:rFonts w:asciiTheme="minorHAnsi" w:hAnsiTheme="minorHAnsi"/>
            <w:noProof/>
            <w:sz w:val="20"/>
            <w:szCs w:val="20"/>
          </w:rPr>
          <w:t>47</w:t>
        </w:r>
        <w:r w:rsidRPr="00FF58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5" w:rsidRDefault="00FF58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1F" w:rsidRDefault="009C511F" w:rsidP="00D55924">
      <w:pPr>
        <w:spacing w:line="240" w:lineRule="auto"/>
      </w:pPr>
      <w:r>
        <w:separator/>
      </w:r>
    </w:p>
  </w:footnote>
  <w:footnote w:type="continuationSeparator" w:id="0">
    <w:p w:rsidR="009C511F" w:rsidRDefault="009C511F" w:rsidP="00D559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5" w:rsidRDefault="00FF58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5" w:rsidRPr="00FF5835" w:rsidRDefault="00FF5835">
    <w:pPr>
      <w:pStyle w:val="a4"/>
      <w:rPr>
        <w:rFonts w:asciiTheme="minorHAnsi" w:hAnsiTheme="minorHAnsi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5" w:rsidRDefault="00FF5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2659"/>
    <w:rsid w:val="001D6600"/>
    <w:rsid w:val="003B41BD"/>
    <w:rsid w:val="003F7A71"/>
    <w:rsid w:val="005F498A"/>
    <w:rsid w:val="0061423A"/>
    <w:rsid w:val="00651A32"/>
    <w:rsid w:val="007D3D63"/>
    <w:rsid w:val="00824F30"/>
    <w:rsid w:val="009A2659"/>
    <w:rsid w:val="009B03BF"/>
    <w:rsid w:val="009C511F"/>
    <w:rsid w:val="00A22513"/>
    <w:rsid w:val="00B56A51"/>
    <w:rsid w:val="00BF20A5"/>
    <w:rsid w:val="00D5532C"/>
    <w:rsid w:val="00D55924"/>
    <w:rsid w:val="00DE1CF2"/>
    <w:rsid w:val="00E301B3"/>
    <w:rsid w:val="00EF0834"/>
    <w:rsid w:val="00F54C49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9"/>
    <w:pPr>
      <w:spacing w:line="312" w:lineRule="auto"/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59"/>
    <w:pPr>
      <w:spacing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592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924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D559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924"/>
    <w:rPr>
      <w:rFonts w:cstheme="minorBidi"/>
    </w:rPr>
  </w:style>
  <w:style w:type="paragraph" w:styleId="a8">
    <w:name w:val="No Spacing"/>
    <w:link w:val="a9"/>
    <w:uiPriority w:val="1"/>
    <w:qFormat/>
    <w:rsid w:val="00FF5835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FF58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baturina</cp:lastModifiedBy>
  <cp:revision>2</cp:revision>
  <dcterms:created xsi:type="dcterms:W3CDTF">2018-11-29T05:31:00Z</dcterms:created>
  <dcterms:modified xsi:type="dcterms:W3CDTF">2018-11-29T05:31:00Z</dcterms:modified>
</cp:coreProperties>
</file>